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EyePoint,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000-51122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26-2774444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480 Pleasant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926-5000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EYPT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EyePoint, Inc. (the “Company”) held its 2026 Annual Meeting of Stockholders on June 18, 2026 via live webcast (the “Annual Meeting”). At the Annual Meeting, the Company’s stockholders, upon the recommendation of the Company’s Board of Directors (the “Board”), approved an amendment (the “Plan Amendment”) to the EyePoint, Inc. 2023 Long-Term Incentive Plan (as amended, the “2023 Plan”) to increase the number of shares of common stock of the Company (“Common Stock”) authorized for issuance thereunder by 4,900,000 shares.</w:t>
      </w:r>
    </w:p>
    <w:p>
      <w:pPr>
        <w:spacing w:after="0" w:line="180" w:lineRule="exact"/>
        <w:rPr>
          <w:sz w:val="20"/>
          <w:szCs w:val="20"/>
          <w:color w:val="auto"/>
        </w:rPr>
      </w:pPr>
    </w:p>
    <w:p>
      <w:pPr>
        <w:ind w:right="20" w:firstLine="794"/>
        <w:spacing w:after="0" w:line="261" w:lineRule="auto"/>
        <w:rPr>
          <w:sz w:val="20"/>
          <w:szCs w:val="20"/>
          <w:color w:val="auto"/>
        </w:rPr>
      </w:pPr>
      <w:r>
        <w:rPr>
          <w:rFonts w:ascii="Times New Roman" w:cs="Times New Roman" w:eastAsia="Times New Roman" w:hAnsi="Times New Roman"/>
          <w:sz w:val="18"/>
          <w:szCs w:val="18"/>
          <w:color w:val="auto"/>
        </w:rPr>
        <w:t>A summary of the Plan Amendment is set forth in the Company’s 2026 Annual Meeting Proxy Statement filed with the Securities and Exchange Commission on April 27, 2026 (the “Proxy Statement”). That summary and the above description of the Plan Amendment do not purport to be complete and are qualified in their entirety by reference to the 2023 Plan, which is filed as Exhibit 10.1 to this Current Report on Form 8-K and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April 21, 2026, the record date for the Annual Meeting, there were 83,795,203 shares of Common Stock issued and outstanding and entitled to vote on the proposals presented at the Annual Meeting, of which 71,010,327 or 84.74%, were present in person via virtual communication or voted by proxy, which constituted a quorum. Each stockholder is entitled to one vote for each share held and cumulative voting for directors is not permitted. The final results of the voting for each matter submitted to a vote of stockholders at the meeting are as follows:</w:t>
      </w:r>
    </w:p>
    <w:p>
      <w:pPr>
        <w:spacing w:after="0" w:line="28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u w:val="single" w:color="auto"/>
          <w:color w:val="auto"/>
        </w:rPr>
        <w:t>Proposal No. 1.</w:t>
        <w:tab/>
        <w:t>Election of Directors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the Board, each to serve until the Company’s 2027 Annual Meeting of Stockholders and until such person’s successor is duly elected and qualified. The voting on this proposal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Vote Type</w:t>
            </w:r>
          </w:p>
        </w:tc>
        <w:tc>
          <w:tcPr>
            <w:tcW w:w="160" w:type="dxa"/>
            <w:vAlign w:val="bottom"/>
          </w:tcPr>
          <w:p>
            <w:pPr>
              <w:spacing w:after="0"/>
              <w:rPr>
                <w:sz w:val="20"/>
                <w:szCs w:val="20"/>
                <w:color w:val="auto"/>
              </w:rPr>
            </w:pPr>
          </w:p>
        </w:tc>
        <w:tc>
          <w:tcPr>
            <w:tcW w:w="2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Vote Results</w:t>
            </w:r>
          </w:p>
        </w:tc>
        <w:tc>
          <w:tcPr>
            <w:tcW w:w="100" w:type="dxa"/>
            <w:vAlign w:val="bottom"/>
          </w:tcPr>
          <w:p>
            <w:pPr>
              <w:spacing w:after="0"/>
              <w:rPr>
                <w:sz w:val="20"/>
                <w:szCs w:val="20"/>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Göran Ando, M.D.</w:t>
            </w: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59,796,165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3,216,592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shd w:val="clear" w:color="auto" w:fill="CFF0FC"/>
          </w:tcPr>
          <w:p>
            <w:pPr>
              <w:spacing w:after="0"/>
              <w:rPr>
                <w:sz w:val="18"/>
                <w:szCs w:val="18"/>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S. Duker, M.D.</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62,424,283</w:t>
            </w:r>
          </w:p>
        </w:tc>
        <w:tc>
          <w:tcPr>
            <w:tcW w:w="10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588,474</w:t>
            </w:r>
          </w:p>
        </w:tc>
        <w:tc>
          <w:tcPr>
            <w:tcW w:w="10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tcPr>
          <w:p>
            <w:pPr>
              <w:spacing w:after="0"/>
              <w:rPr>
                <w:sz w:val="20"/>
                <w:szCs w:val="20"/>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B. Landis, Ph.D.</w:t>
            </w: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62,146,666</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866,091</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shd w:val="clear" w:color="auto" w:fill="CFF0FC"/>
          </w:tcPr>
          <w:p>
            <w:pPr>
              <w:spacing w:after="0"/>
              <w:rPr>
                <w:sz w:val="18"/>
                <w:szCs w:val="18"/>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Wendy DiCicco</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61,675,612</w:t>
            </w:r>
          </w:p>
        </w:tc>
        <w:tc>
          <w:tcPr>
            <w:tcW w:w="10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1,337,145</w:t>
            </w:r>
          </w:p>
        </w:tc>
        <w:tc>
          <w:tcPr>
            <w:tcW w:w="10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tcPr>
          <w:p>
            <w:pPr>
              <w:spacing w:after="0"/>
              <w:rPr>
                <w:sz w:val="20"/>
                <w:szCs w:val="20"/>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Karen Zaderej</w:t>
            </w: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62,154,600</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858,157</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shd w:val="clear" w:color="auto" w:fill="CFF0FC"/>
          </w:tcPr>
          <w:p>
            <w:pPr>
              <w:spacing w:after="0"/>
              <w:rPr>
                <w:sz w:val="18"/>
                <w:szCs w:val="18"/>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Stuart Duty</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62,317,098</w:t>
            </w:r>
          </w:p>
        </w:tc>
        <w:tc>
          <w:tcPr>
            <w:tcW w:w="10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695,659</w:t>
            </w:r>
          </w:p>
        </w:tc>
        <w:tc>
          <w:tcPr>
            <w:tcW w:w="10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tcPr>
          <w:p>
            <w:pPr>
              <w:spacing w:after="0"/>
              <w:rPr>
                <w:sz w:val="20"/>
                <w:szCs w:val="20"/>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Fred Hassan</w:t>
            </w: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61,862,078</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1,150,679</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shd w:val="clear" w:color="auto" w:fill="CFF0FC"/>
          </w:tcPr>
          <w:p>
            <w:pPr>
              <w:spacing w:after="0"/>
              <w:rPr>
                <w:sz w:val="18"/>
                <w:szCs w:val="18"/>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Reginald J. Sanders, M.D.</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2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62,327,522</w:t>
            </w:r>
          </w:p>
        </w:tc>
        <w:tc>
          <w:tcPr>
            <w:tcW w:w="10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685,235</w:t>
            </w:r>
          </w:p>
        </w:tc>
        <w:tc>
          <w:tcPr>
            <w:tcW w:w="10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tcPr>
          <w:p>
            <w:pPr>
              <w:spacing w:after="0"/>
              <w:rPr>
                <w:sz w:val="20"/>
                <w:szCs w:val="20"/>
                <w:color w:val="auto"/>
              </w:rPr>
            </w:pPr>
          </w:p>
        </w:tc>
      </w:tr>
      <w:tr>
        <w:trPr>
          <w:trHeight w:val="979"/>
        </w:trPr>
        <w:tc>
          <w:tcPr>
            <w:tcW w:w="47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tabs>
          <w:tab w:leader="none" w:pos="1420" w:val="left"/>
        </w:tabs>
        <w:rPr>
          <w:sz w:val="20"/>
          <w:szCs w:val="20"/>
          <w:color w:val="auto"/>
        </w:rPr>
      </w:pPr>
      <w:r>
        <w:rPr>
          <w:rFonts w:ascii="Times New Roman" w:cs="Times New Roman" w:eastAsia="Times New Roman" w:hAnsi="Times New Roman"/>
          <w:sz w:val="18"/>
          <w:szCs w:val="18"/>
          <w:b w:val="1"/>
          <w:bCs w:val="1"/>
          <w:u w:val="single" w:color="auto"/>
          <w:color w:val="auto"/>
        </w:rPr>
        <w:t>Proposal No. 2.</w:t>
        <w:tab/>
        <w:t>Amendment to 2023 Long-Term Incentive Plan</w:t>
      </w:r>
    </w:p>
    <w:p>
      <w:pPr>
        <w:spacing w:after="0" w:line="12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2023 Plan Amendment to increase the number of shares of Common Stock authorized for issuance thereunder by 4,900,000 shares. The voting on this proposal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Vote type</w:t>
            </w:r>
          </w:p>
        </w:tc>
        <w:tc>
          <w:tcPr>
            <w:tcW w:w="120" w:type="dxa"/>
            <w:vAlign w:val="bottom"/>
          </w:tcPr>
          <w:p>
            <w:pPr>
              <w:spacing w:after="0"/>
              <w:rPr>
                <w:sz w:val="20"/>
                <w:szCs w:val="20"/>
                <w:color w:val="auto"/>
              </w:rPr>
            </w:pPr>
          </w:p>
        </w:tc>
        <w:tc>
          <w:tcPr>
            <w:tcW w:w="40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Vote Results</w:t>
            </w:r>
          </w:p>
        </w:tc>
        <w:tc>
          <w:tcPr>
            <w:tcW w:w="100" w:type="dxa"/>
            <w:vAlign w:val="bottom"/>
          </w:tcPr>
          <w:p>
            <w:pPr>
              <w:spacing w:after="0"/>
              <w:rPr>
                <w:sz w:val="20"/>
                <w:szCs w:val="20"/>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4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49,662,176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13,010,393</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4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340,188</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 Votes</w:t>
            </w:r>
          </w:p>
        </w:tc>
        <w:tc>
          <w:tcPr>
            <w:tcW w:w="4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7,997,570</w:t>
            </w:r>
          </w:p>
        </w:tc>
      </w:tr>
    </w:tbl>
    <w:p>
      <w:pPr>
        <w:spacing w:after="0" w:line="28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u w:val="single" w:color="auto"/>
          <w:color w:val="auto"/>
        </w:rPr>
        <w:t>Proposal No. 3.</w:t>
        <w:tab/>
        <w:t>Non-Binding Advisory Vote on Named Executive Officer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 Proxy Statement. The voting on this proposal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Vote type</w:t>
            </w:r>
          </w:p>
        </w:tc>
        <w:tc>
          <w:tcPr>
            <w:tcW w:w="120" w:type="dxa"/>
            <w:vAlign w:val="bottom"/>
          </w:tcPr>
          <w:p>
            <w:pPr>
              <w:spacing w:after="0"/>
              <w:rPr>
                <w:sz w:val="20"/>
                <w:szCs w:val="20"/>
                <w:color w:val="auto"/>
              </w:rPr>
            </w:pPr>
          </w:p>
        </w:tc>
        <w:tc>
          <w:tcPr>
            <w:tcW w:w="404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Vote Results</w:t>
            </w:r>
          </w:p>
        </w:tc>
        <w:tc>
          <w:tcPr>
            <w:tcW w:w="100" w:type="dxa"/>
            <w:vAlign w:val="bottom"/>
          </w:tcPr>
          <w:p>
            <w:pPr>
              <w:spacing w:after="0"/>
              <w:rPr>
                <w:sz w:val="20"/>
                <w:szCs w:val="20"/>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4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60,563,563</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2,033,575</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4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415,619</w:t>
            </w:r>
          </w:p>
        </w:tc>
        <w:tc>
          <w:tcPr>
            <w:tcW w:w="100" w:type="dxa"/>
            <w:vAlign w:val="bottom"/>
            <w:shd w:val="clear" w:color="auto" w:fill="CFF0FC"/>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 Votes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7,997,570</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u w:val="single" w:color="auto"/>
          <w:color w:val="auto"/>
        </w:rPr>
        <w:t>Proposal No. 4.</w:t>
      </w:r>
      <w:r>
        <w:rPr>
          <w:sz w:val="20"/>
          <w:szCs w:val="20"/>
          <w:color w:val="auto"/>
        </w:rPr>
        <w:tab/>
      </w:r>
      <w:r>
        <w:rPr>
          <w:rFonts w:ascii="Times New Roman" w:cs="Times New Roman" w:eastAsia="Times New Roman" w:hAnsi="Times New Roman"/>
          <w:sz w:val="17"/>
          <w:szCs w:val="17"/>
          <w:b w:val="1"/>
          <w:bCs w:val="1"/>
          <w:u w:val="single" w:color="auto"/>
          <w:color w:val="auto"/>
        </w:rPr>
        <w:t>Ratification of Appointment of Independent Registered Public Accounting Firm</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 The voting on this proposal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Vote type</w:t>
            </w:r>
          </w:p>
        </w:tc>
        <w:tc>
          <w:tcPr>
            <w:tcW w:w="120" w:type="dxa"/>
            <w:vAlign w:val="bottom"/>
          </w:tcPr>
          <w:p>
            <w:pPr>
              <w:spacing w:after="0"/>
              <w:rPr>
                <w:sz w:val="20"/>
                <w:szCs w:val="20"/>
                <w:color w:val="auto"/>
              </w:rPr>
            </w:pPr>
          </w:p>
        </w:tc>
        <w:tc>
          <w:tcPr>
            <w:tcW w:w="40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Vote Results</w:t>
            </w:r>
          </w:p>
        </w:tc>
        <w:tc>
          <w:tcPr>
            <w:tcW w:w="100" w:type="dxa"/>
            <w:vAlign w:val="bottom"/>
          </w:tcPr>
          <w:p>
            <w:pPr>
              <w:spacing w:after="0"/>
              <w:rPr>
                <w:sz w:val="20"/>
                <w:szCs w:val="20"/>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4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70,608,563</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86,031</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4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315,733</w:t>
            </w:r>
          </w:p>
        </w:tc>
        <w:tc>
          <w:tcPr>
            <w:tcW w:w="10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EyePoint, Inc. Amendment No 3. to 2023 Long-Term Incentive Plan.</w:t>
            </w:r>
          </w:p>
        </w:tc>
      </w:tr>
      <w:tr>
        <w:trPr>
          <w:trHeight w:val="20"/>
        </w:trPr>
        <w:tc>
          <w:tcPr>
            <w:tcW w:w="1240" w:type="dxa"/>
            <w:vAlign w:val="bottom"/>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22, 2026</w:t>
      </w:r>
      <w:r>
        <w:rPr>
          <w:sz w:val="20"/>
          <w:szCs w:val="20"/>
          <w:color w:val="auto"/>
        </w:rPr>
        <w:tab/>
      </w:r>
      <w:r>
        <w:rPr>
          <w:rFonts w:ascii="Times New Roman" w:cs="Times New Roman" w:eastAsia="Times New Roman" w:hAnsi="Times New Roman"/>
          <w:sz w:val="18"/>
          <w:szCs w:val="18"/>
          <w:color w:val="auto"/>
        </w:rPr>
        <w:t>By:</w:t>
        <w:tab/>
        <w:t>/s/ George O. Elston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George O. Elston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EYEPOINT,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3 TO THE 2023 LONG TERM INCENTIVE PLAN</w:t>
      </w:r>
    </w:p>
    <w:p>
      <w:pPr>
        <w:spacing w:after="0" w:line="200" w:lineRule="exact"/>
        <w:rPr>
          <w:sz w:val="20"/>
          <w:szCs w:val="20"/>
          <w:color w:val="auto"/>
        </w:rPr>
      </w:pPr>
    </w:p>
    <w:p>
      <w:pPr>
        <w:spacing w:after="0" w:line="252"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21"/>
          <w:szCs w:val="21"/>
          <w:color w:val="auto"/>
        </w:rPr>
        <w:t>WHEREAS, EyePoint, Inc. (the “Company”) maintains the EyePoint, Inc. 2023 Long-Term Incentive Plan, originally effective as of June 20, 2023, as first amended as of June 20, 2024 and as further amended as of June 18, 2025 (as amended, the “Plan”);</w:t>
      </w:r>
    </w:p>
    <w:p>
      <w:pPr>
        <w:spacing w:after="0" w:line="162" w:lineRule="exact"/>
        <w:rPr>
          <w:sz w:val="20"/>
          <w:szCs w:val="20"/>
          <w:color w:val="auto"/>
        </w:rPr>
      </w:pPr>
    </w:p>
    <w:p>
      <w:pPr>
        <w:ind w:right="560"/>
        <w:spacing w:after="0" w:line="239" w:lineRule="auto"/>
        <w:rPr>
          <w:sz w:val="20"/>
          <w:szCs w:val="20"/>
          <w:color w:val="auto"/>
        </w:rPr>
      </w:pPr>
      <w:r>
        <w:rPr>
          <w:rFonts w:ascii="Times New Roman" w:cs="Times New Roman" w:eastAsia="Times New Roman" w:hAnsi="Times New Roman"/>
          <w:sz w:val="22"/>
          <w:szCs w:val="22"/>
          <w:color w:val="auto"/>
        </w:rPr>
        <w:t>WHEREAS, pursuant to Section 9 of the Plan, the Compensation Committee (“Compensation Committee”) of the Board of Directors of the Company (the “Board”) may amend the Plan at any time; provided that, amendments to the Plan must be approved by the Company’s stockholders if and to the extent required by applicable laws or stock exchange requirements (“Stockholder Approval”);</w:t>
      </w:r>
    </w:p>
    <w:p>
      <w:pPr>
        <w:spacing w:after="0" w:line="207"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WHEREAS, the Compensation Committee, in consultation with legal and financial advisors, has determined that it is advisable and in the best interests of the Company and its stockholders to increase the number of shares of the Company’s common stock, $0.001 par value per share, reserved for issuance under the Plan by 4,900,000 shares (the “Share Increase”);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pursuant to Section 9 of the Plan, in order to effect the Share Increase, Stockholder Approval must be obtained;</w:t>
      </w:r>
    </w:p>
    <w:p>
      <w:pPr>
        <w:spacing w:after="0" w:line="23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WHEREAS, the Compensation Committee has approved the Share Increase and has recommended that the Board adopt and approve the Share Increase subject to Stockholder Approval;</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WHEREAS, the Board desires to amend the Plan to provide for the Share Increase as set forth in this amendment to the Plan (this “Amendment”), effective upon receipt of the Stockholder Approval;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WHEREAS, capitalized terms used in this Amendment but not defined herein shall have the meaning given to them in the Plan.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the Board hereby amends the Plan, effective upon receipt of the Stockholder Approval, as follows: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Section 4(a) of the Plan is deleted and replaced in its entirety with the following: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LIMITS ON AWARDS UNDER THE PLAN.</w:t>
      </w:r>
    </w:p>
    <w:p>
      <w:pPr>
        <w:spacing w:after="0" w:line="233"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 Number of Shares.</w:t>
      </w:r>
      <w:r>
        <w:rPr>
          <w:rFonts w:ascii="Times New Roman" w:cs="Times New Roman" w:eastAsia="Times New Roman" w:hAnsi="Times New Roman"/>
          <w:sz w:val="21"/>
          <w:szCs w:val="21"/>
          <w:color w:val="auto"/>
        </w:rPr>
        <w:t xml:space="preserve"> Subject to adjustment as provided in Section 7(b), the maximum number of shares of Stock that may be issued in satisfaction of Equity Awards under the Plan is 15,300,000, plus 184,904 shares of Stock that were previously available for grant under the 2016 Plan that were transferred to the Plan as of June 20, 2023, plus any shares of Stock that would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spacing w:after="0" w:line="232" w:lineRule="auto"/>
        <w:rPr>
          <w:sz w:val="20"/>
          <w:szCs w:val="20"/>
          <w:color w:val="auto"/>
        </w:rPr>
      </w:pPr>
      <w:r>
        <w:rPr>
          <w:rFonts w:ascii="Times New Roman" w:cs="Times New Roman" w:eastAsia="Times New Roman" w:hAnsi="Times New Roman"/>
          <w:sz w:val="22"/>
          <w:szCs w:val="22"/>
          <w:color w:val="auto"/>
        </w:rPr>
        <w:t>otherwise have become available for grant under the Prior Plans after the Date of Adoption as a result of the termination or forfeiture of awards under the Prior Plans. Up to 7,500,000 shares of Stock set forth in the preceding sentence may be issued in satisfaction of ISOs, but nothing in this Section 4(a) will be construed as requiring that any, or any fixed number of, ISOs be awarded under the Plan. For purposes of this Section 4(a), the number of shares of Stock issued in satisfaction of Equity Awards will be determined (i) by including shares of Stock withheld by the Company in payment of the exercise price or purchase price of the Award or in satisfaction of tax withholding requirements with respect to the Award, (ii) by including the full number of shares covered by a SAR any portion of which is settled in Stock (and not only the number of shares of Stock delivered in settlement), and (iii) by excluding any shares of Stock underlying Awards that expire, become unexercisable, terminate or are forfeited to or repurchased by the Company without the issuance of Stock. For the avoidance of doubt, the number of shares of Stock available for delivery under the Plan will not be increased by any shares of Stock delivered under the Plan that are subsequently repurchased using proceeds directly attributable to Stock Option exercises. The limits set forth in this Section 4(a) will be construed to comply with Section 422. To the extent consistent with the requirements of Section 422 and the regulations thereunder, and other applicable legal requirements (including applicable stock exchange requirements), Stock issued under Substitute Awards will not reduce the number of shares available for Awards under the Plan. The number of shares of Stock that may be delivered under substitute Awards will be in addition to the limitations set forth in this Section 4(a) on the number of shares available for issuance under the Plan."</w:t>
      </w:r>
    </w:p>
    <w:p>
      <w:pPr>
        <w:spacing w:after="0" w:line="218" w:lineRule="exact"/>
        <w:rPr>
          <w:sz w:val="20"/>
          <w:szCs w:val="20"/>
          <w:color w:val="auto"/>
        </w:rPr>
      </w:pPr>
    </w:p>
    <w:p>
      <w:pPr>
        <w:ind w:right="20" w:firstLine="8"/>
        <w:spacing w:after="0" w:line="244" w:lineRule="auto"/>
        <w:tabs>
          <w:tab w:leader="none" w:pos="21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and modified by this Amendment, the Plan is in all other respects hereby ratified and confirmed and references to the Plan shall be deemed to refer to the Plan as modified by this Amendment, effective upon receipt of the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2026-06-22T06:06:57Z</dcterms:created>
  <dcterms:modified xsi:type="dcterms:W3CDTF">2026-06-22T06:06:57Z</dcterms:modified>
</cp:coreProperties>
</file>