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Ribeiro Ramiro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EYEPOINT,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 PLEASANT STREET, SUITE C400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EyePoint, Inc.</w:t>
              </w:r>
            </w:hyperlink>
            <w:r>
              <w:rPr/>
              <w:t xml:space="preserve"> [ </w:t>
            </w:r>
            <w:r>
              <w:rPr>
                <w:rFonts w:ascii="Times;serif" w:hAnsi="Times;serif"/>
                <w:color w:val="0000FF"/>
                <w:sz w:val="24"/>
                <w:shd w:fill="FFFFFF" w:val="clear"/>
              </w:rPr>
              <w:t>EYPT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8.26</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8.26</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15.0172</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78,001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75,563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$15.00 to $15.06. The reporting person undertakes to provide EyePoint Inc., any security holder of EyePoint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to purchase will vest and become exercisable as follows: 25% at January 3, 2026 and the remainder ratably, on a monthly basis, over the remaining three years.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Honig,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13623" TargetMode="External"/><Relationship Id="rId5" Type="http://schemas.openxmlformats.org/officeDocument/2006/relationships/hyperlink" Target="http://www.sec.gov/cgi-bin/browse-edgar?action=getcompany&amp;CIK=00013141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3870</Characters>
  <CharactersWithSpaces>4494</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