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EyePoint,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EyePoint,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7,000,000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8.35%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7,000,000 The percentages reported herein with respect to the Reporting Persons' holdings are calculated based upon a statement in the Issuer's Quarterly Report on Form 10-Q for the quarterly period ended March 31, 2026, as filed with the Securities and Exchange Commission on May 7, 2026, that there were 83,841,298 shares of Common Stock of the Issuer outstanding as of May 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amendment filed by the Reporting Persons on November 14,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1216</Words>
  <Characters>6204</Characters>
  <CharactersWithSpaces>7389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