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Duker Jay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EYEPOINT,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 PLEASANT STREET, SUITE C400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EyePoint, Inc.</w:t>
              </w:r>
            </w:hyperlink>
            <w:r>
              <w:rPr/>
              <w:t xml:space="preserve"> [ </w:t>
            </w:r>
            <w:r>
              <w:rPr>
                <w:rFonts w:ascii="Times;serif" w:hAnsi="Times;serif"/>
                <w:color w:val="0000FF"/>
                <w:sz w:val="24"/>
                <w:shd w:fill="FFFFFF" w:val="clear"/>
              </w:rPr>
              <w:t>EYPT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17,653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9,594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177,431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(2)</w:t>
            </w:r>
            <w:r>
              <w:rPr/>
              <w:t xml:space="preserve"> </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16,667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 shares were sold - these shares were withheld by the issuer to satisfy tax withholding requirements in connection with the Reporting Person's exercise of his withholding right following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in a trust for the benefit of the reporting person's children. The reporting person's spouse is trustee of the Family Trust. The reporting person disclaims beneficial ownership of these securities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vested in three ratable annual installments beginning July 10,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Honig,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0864" TargetMode="External"/><Relationship Id="rId5" Type="http://schemas.openxmlformats.org/officeDocument/2006/relationships/hyperlink" Target="http://www.sec.gov/cgi-bin/browse-edgar?action=getcompany&amp;CIK=00013141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3832</Characters>
  <CharactersWithSpaces>4465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